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4707A" w14:textId="6BE84FFD" w:rsidR="006E6D06" w:rsidRDefault="006E6D06" w:rsidP="00EB60D6">
      <w:pPr>
        <w:pStyle w:val="Naslov1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TESTIRANJE KANDIDATA</w:t>
      </w:r>
    </w:p>
    <w:p w14:paraId="5F4A5964" w14:textId="77777777" w:rsidR="006E6D06" w:rsidRPr="006E6D06" w:rsidRDefault="006E6D06" w:rsidP="00EB60D6">
      <w:pPr>
        <w:pStyle w:val="Odlomakpopisa"/>
        <w:spacing w:line="276" w:lineRule="auto"/>
        <w:jc w:val="both"/>
        <w:rPr>
          <w:sz w:val="20"/>
          <w:szCs w:val="20"/>
        </w:rPr>
      </w:pPr>
    </w:p>
    <w:p w14:paraId="20239C51" w14:textId="235D4A9E" w:rsidR="00E47883" w:rsidRDefault="00E47883" w:rsidP="00EB60D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sz w:val="20"/>
          <w:szCs w:val="20"/>
        </w:rPr>
        <w:t>Prethodna provjera znanja i sposobnosti obavlja se putem testiranja iz stručnog dijela i intervjua.</w:t>
      </w:r>
    </w:p>
    <w:p w14:paraId="11308A06" w14:textId="1FBAE16C" w:rsidR="00E47883" w:rsidRDefault="00E47883" w:rsidP="00EB60D6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Stručni dio testiranja </w:t>
      </w:r>
      <w:r w:rsidRPr="005D2FF4">
        <w:rPr>
          <w:color w:val="000000" w:themeColor="text1"/>
          <w:sz w:val="20"/>
          <w:szCs w:val="20"/>
        </w:rPr>
        <w:t xml:space="preserve">odnosi se na provjeru znanja, sposobnosti i vještina bitnih za obavljanje poslova radnog mjesta na koje se prima, </w:t>
      </w:r>
      <w:r w:rsidR="005D2FF4" w:rsidRPr="005D2FF4">
        <w:rPr>
          <w:rFonts w:ascii="Verdana" w:hAnsi="Verdana"/>
          <w:color w:val="000000" w:themeColor="text1"/>
          <w:sz w:val="18"/>
          <w:szCs w:val="18"/>
          <w:shd w:val="clear" w:color="auto" w:fill="FFFFFF"/>
        </w:rPr>
        <w:t xml:space="preserve">a </w:t>
      </w:r>
      <w:r w:rsidR="005D2FF4" w:rsidRPr="005D2FF4">
        <w:rPr>
          <w:rFonts w:asciiTheme="minorHAnsi" w:hAnsiTheme="minorHAnsi" w:cstheme="minorHAnsi"/>
          <w:color w:val="000000" w:themeColor="text1"/>
          <w:sz w:val="18"/>
          <w:szCs w:val="18"/>
          <w:shd w:val="clear" w:color="auto" w:fill="FFFFFF"/>
        </w:rPr>
        <w:t xml:space="preserve">sastoji </w:t>
      </w:r>
      <w:r w:rsidR="005D2FF4" w:rsidRPr="005D2FF4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se od provjere poznavanja Statuta i djelatnosti Ustanove</w:t>
      </w:r>
      <w:r w:rsidR="00C9592A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 xml:space="preserve">, </w:t>
      </w:r>
      <w:r w:rsidRPr="005D2FF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 provodi </w:t>
      </w:r>
      <w:r w:rsidRPr="005D2FF4">
        <w:rPr>
          <w:rFonts w:asciiTheme="minorHAnsi" w:hAnsiTheme="minorHAnsi" w:cstheme="minorHAnsi"/>
          <w:sz w:val="20"/>
          <w:szCs w:val="20"/>
        </w:rPr>
        <w:t>se na temelju</w:t>
      </w:r>
      <w:r>
        <w:rPr>
          <w:sz w:val="20"/>
          <w:szCs w:val="20"/>
        </w:rPr>
        <w:t xml:space="preserve"> sljedećih izvora :</w:t>
      </w:r>
    </w:p>
    <w:p w14:paraId="41AAC623" w14:textId="2ED98265" w:rsidR="00F33860" w:rsidRDefault="00E47883" w:rsidP="00C9592A">
      <w:pPr>
        <w:pStyle w:val="Odlomakpopisa"/>
        <w:numPr>
          <w:ilvl w:val="0"/>
          <w:numId w:val="1"/>
        </w:numPr>
        <w:spacing w:line="276" w:lineRule="auto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Statut Ustanove za gospodarenje športskim objektima </w:t>
      </w:r>
    </w:p>
    <w:p w14:paraId="130FF7F7" w14:textId="3E996D0C" w:rsidR="00CF1381" w:rsidRPr="00CF1381" w:rsidRDefault="00CF1381" w:rsidP="00CF1381">
      <w:pPr>
        <w:pStyle w:val="Odlomakpopisa"/>
        <w:numPr>
          <w:ilvl w:val="0"/>
          <w:numId w:val="1"/>
        </w:numPr>
        <w:spacing w:line="276" w:lineRule="auto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Zakon o Ustanovama (</w:t>
      </w:r>
      <w:hyperlink r:id="rId5" w:history="1">
        <w:r w:rsidRPr="00D16D79">
          <w:rPr>
            <w:rStyle w:val="Hiperveza"/>
            <w:rFonts w:eastAsia="Times New Roman"/>
            <w:sz w:val="20"/>
            <w:szCs w:val="20"/>
          </w:rPr>
          <w:t>https://narodne-novine.nn.hr/clanci/sluzbeni/1993_08_76_1548.html</w:t>
        </w:r>
      </w:hyperlink>
      <w:r>
        <w:rPr>
          <w:rFonts w:eastAsia="Times New Roman"/>
          <w:sz w:val="20"/>
          <w:szCs w:val="20"/>
        </w:rPr>
        <w:t xml:space="preserve">) </w:t>
      </w:r>
    </w:p>
    <w:p w14:paraId="06A1CF7B" w14:textId="06C86845" w:rsidR="00E47883" w:rsidRPr="00F33860" w:rsidRDefault="00E47883" w:rsidP="00F33860">
      <w:pPr>
        <w:spacing w:line="276" w:lineRule="auto"/>
        <w:jc w:val="both"/>
        <w:rPr>
          <w:rFonts w:eastAsia="Times New Roman"/>
          <w:sz w:val="20"/>
          <w:szCs w:val="20"/>
        </w:rPr>
      </w:pPr>
      <w:r w:rsidRPr="00F33860">
        <w:rPr>
          <w:sz w:val="20"/>
        </w:rPr>
        <w:t>Statut</w:t>
      </w:r>
      <w:r>
        <w:t xml:space="preserve"> </w:t>
      </w:r>
      <w:r w:rsidRPr="00F33860">
        <w:rPr>
          <w:sz w:val="20"/>
          <w:szCs w:val="20"/>
        </w:rPr>
        <w:t>Ustanove za gospodarenje športskim objektima- potpuni tekst javno je dostupan na službenim web stranicama Ustanove u rubrici „Statut“, dostupno na poveznici:</w:t>
      </w:r>
      <w:r w:rsidR="00D75FAA" w:rsidRPr="00F33860">
        <w:rPr>
          <w:sz w:val="20"/>
          <w:szCs w:val="20"/>
        </w:rPr>
        <w:t xml:space="preserve"> </w:t>
      </w:r>
      <w:hyperlink r:id="rId6" w:history="1">
        <w:r w:rsidR="00CF1381" w:rsidRPr="00D16D79">
          <w:rPr>
            <w:rStyle w:val="Hiperveza"/>
            <w:sz w:val="20"/>
          </w:rPr>
          <w:t>https://www.uzgso.hr/statut</w:t>
        </w:r>
      </w:hyperlink>
      <w:r w:rsidRPr="00F33860">
        <w:rPr>
          <w:sz w:val="20"/>
        </w:rPr>
        <w:t xml:space="preserve"> </w:t>
      </w:r>
      <w:r w:rsidR="00535EC1" w:rsidRPr="00F33860">
        <w:rPr>
          <w:sz w:val="20"/>
        </w:rPr>
        <w:t>.</w:t>
      </w:r>
    </w:p>
    <w:p w14:paraId="6646FC38" w14:textId="4C46E335" w:rsidR="00C511D4" w:rsidRDefault="00C511D4" w:rsidP="00EB60D6">
      <w:pPr>
        <w:spacing w:line="276" w:lineRule="auto"/>
        <w:jc w:val="both"/>
        <w:rPr>
          <w:sz w:val="20"/>
          <w:szCs w:val="20"/>
        </w:rPr>
      </w:pPr>
    </w:p>
    <w:p w14:paraId="2EC588F3" w14:textId="77777777" w:rsidR="00EB60D6" w:rsidRDefault="00EB60D6" w:rsidP="00EB60D6">
      <w:pPr>
        <w:pStyle w:val="Naslov2"/>
        <w:spacing w:line="276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34D70078" w14:textId="70ACC319" w:rsidR="00C511D4" w:rsidRDefault="00C511D4" w:rsidP="00EB60D6">
      <w:pPr>
        <w:pStyle w:val="Naslov2"/>
        <w:spacing w:line="276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PRAVILA I POSTUPAK TESTIRANJA</w:t>
      </w:r>
    </w:p>
    <w:p w14:paraId="3739DDD3" w14:textId="77777777" w:rsidR="00C511D4" w:rsidRDefault="00C511D4" w:rsidP="00EB60D6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Prethodnoj provjeri znanja i sposobnosti kandidata mogu pristupiti samo kandidati koji ispunjavaju formalne uvjete natječaja.</w:t>
      </w:r>
    </w:p>
    <w:p w14:paraId="41FFC683" w14:textId="77777777" w:rsidR="00C511D4" w:rsidRDefault="00C511D4" w:rsidP="00EB60D6">
      <w:pPr>
        <w:spacing w:line="276" w:lineRule="auto"/>
        <w:jc w:val="both"/>
        <w:rPr>
          <w:sz w:val="20"/>
          <w:szCs w:val="20"/>
        </w:rPr>
      </w:pPr>
    </w:p>
    <w:p w14:paraId="2243E920" w14:textId="7E60F858" w:rsidR="00C511D4" w:rsidRDefault="00EB60D6" w:rsidP="00EB60D6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C511D4">
        <w:rPr>
          <w:sz w:val="20"/>
          <w:szCs w:val="20"/>
        </w:rPr>
        <w:t>o dolasku na provjeru znanja, od kandidata će biti zatraženo predočavanje odgovarajuće identifikacijske isprave radi utvrđivanja identiteta</w:t>
      </w:r>
      <w:r>
        <w:rPr>
          <w:sz w:val="20"/>
          <w:szCs w:val="20"/>
        </w:rPr>
        <w:t xml:space="preserve">. </w:t>
      </w:r>
      <w:r w:rsidR="00C511D4">
        <w:rPr>
          <w:sz w:val="20"/>
          <w:szCs w:val="20"/>
        </w:rPr>
        <w:t>Kandidati koji ne mogu dokazati identitet neće moći pristupiti testiranju. Za kandidata koji ne pristupi testiranju smatrat će se da je povukao prijavu na natječaj.</w:t>
      </w:r>
    </w:p>
    <w:p w14:paraId="2253230E" w14:textId="77777777" w:rsidR="00C511D4" w:rsidRDefault="00C511D4" w:rsidP="00EB60D6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Provjera znanja bitnih za obavljanje poslova koje će obavljati (stručni dio) može trajati do 60 minuta.</w:t>
      </w:r>
    </w:p>
    <w:p w14:paraId="6A748CED" w14:textId="77777777" w:rsidR="00C511D4" w:rsidRDefault="00C511D4" w:rsidP="00EB60D6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Kandidati su dužni pridržavati se utvrđenog vremena i rasporeda testiranja.</w:t>
      </w:r>
    </w:p>
    <w:p w14:paraId="144F4CD2" w14:textId="77777777" w:rsidR="00C511D4" w:rsidRDefault="00C511D4" w:rsidP="00EB60D6">
      <w:pPr>
        <w:spacing w:line="276" w:lineRule="auto"/>
        <w:jc w:val="both"/>
        <w:rPr>
          <w:b/>
          <w:bCs/>
          <w:sz w:val="20"/>
          <w:szCs w:val="20"/>
          <w:u w:val="single"/>
        </w:rPr>
      </w:pPr>
      <w:r>
        <w:rPr>
          <w:sz w:val="20"/>
          <w:szCs w:val="20"/>
        </w:rPr>
        <w:t xml:space="preserve">Za  vrijeme provjere znanja i sposobnosti </w:t>
      </w:r>
      <w:r>
        <w:rPr>
          <w:b/>
          <w:bCs/>
          <w:sz w:val="20"/>
          <w:szCs w:val="20"/>
          <w:u w:val="single"/>
        </w:rPr>
        <w:t>nije dopušteno:</w:t>
      </w:r>
    </w:p>
    <w:p w14:paraId="4142DD45" w14:textId="77777777" w:rsidR="00C511D4" w:rsidRDefault="00C511D4" w:rsidP="00EB60D6">
      <w:pPr>
        <w:numPr>
          <w:ilvl w:val="0"/>
          <w:numId w:val="2"/>
        </w:numPr>
        <w:spacing w:line="276" w:lineRule="auto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koristiti se bilo kakvom literaturom odnosno bilješkama;</w:t>
      </w:r>
    </w:p>
    <w:p w14:paraId="3D2F76C2" w14:textId="77777777" w:rsidR="00C511D4" w:rsidRDefault="00C511D4" w:rsidP="00EB60D6">
      <w:pPr>
        <w:numPr>
          <w:ilvl w:val="0"/>
          <w:numId w:val="2"/>
        </w:numPr>
        <w:spacing w:line="276" w:lineRule="auto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koristiti mobitel ili druga komunikacijska sredstva;</w:t>
      </w:r>
    </w:p>
    <w:p w14:paraId="60EBD062" w14:textId="77777777" w:rsidR="00C511D4" w:rsidRDefault="00C511D4" w:rsidP="00EB60D6">
      <w:pPr>
        <w:numPr>
          <w:ilvl w:val="0"/>
          <w:numId w:val="2"/>
        </w:numPr>
        <w:spacing w:line="276" w:lineRule="auto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napuštati prostoriju u kojoj se provjera odvija;</w:t>
      </w:r>
    </w:p>
    <w:p w14:paraId="51A62C9F" w14:textId="77777777" w:rsidR="00C511D4" w:rsidRDefault="00C511D4" w:rsidP="00EB60D6">
      <w:pPr>
        <w:numPr>
          <w:ilvl w:val="0"/>
          <w:numId w:val="2"/>
        </w:numPr>
        <w:spacing w:line="276" w:lineRule="auto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razgovarati s ostalim kandidatima niti na bilo koji drugi način remetiti koncentraciju kandidata.</w:t>
      </w:r>
    </w:p>
    <w:p w14:paraId="6F0AB49D" w14:textId="2F07AB41" w:rsidR="00C511D4" w:rsidRDefault="00C511D4" w:rsidP="00EB60D6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Kandidati koji će se ponašati neprimjereno ili će prekršiti jedno od gore navedenih pravila bit će udaljeni s testiranja, a njihov rezultat i rad  povjerenstvo neće bodovati.</w:t>
      </w:r>
    </w:p>
    <w:p w14:paraId="08BFD79C" w14:textId="77777777" w:rsidR="00C511D4" w:rsidRDefault="00C511D4" w:rsidP="00EB60D6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Za svaki dio provjere znanja dodjeljuje se od 1 do 10 bodova. Smatra se da su kandidati položili ako su za svaki dio provjere znanja, sposobnosti i vještina dobili najmanje 5 bodova.</w:t>
      </w:r>
      <w:r>
        <w:rPr>
          <w:b/>
          <w:bCs/>
          <w:sz w:val="20"/>
          <w:szCs w:val="20"/>
        </w:rPr>
        <w:t xml:space="preserve"> </w:t>
      </w:r>
    </w:p>
    <w:p w14:paraId="42BF36CA" w14:textId="77777777" w:rsidR="00C511D4" w:rsidRDefault="00C511D4" w:rsidP="00EB60D6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Po provedenoj pisanoj provjeri znanja i sposobnosti, kandidati će pristupiti na intervju sa Povjerenstvom.</w:t>
      </w:r>
    </w:p>
    <w:p w14:paraId="3CA5C949" w14:textId="5441B7A6" w:rsidR="00C511D4" w:rsidRDefault="00C511D4" w:rsidP="00EB60D6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Intervju se provodi samo s kandidatima koji su ostvarili najmanje 50% bodova iz svakog dijela provjere znanja i sposobnosti.</w:t>
      </w:r>
    </w:p>
    <w:p w14:paraId="3F27D08F" w14:textId="0BB1A6CB" w:rsidR="00C511D4" w:rsidRDefault="00C511D4" w:rsidP="00EB60D6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Nakon provedene prethodne provjere znanja i sposobnosti, Povjerenstvo utvrđuje rang listu kandidata prema ukupnom broju ostvarenih bodova.</w:t>
      </w:r>
    </w:p>
    <w:p w14:paraId="5687538D" w14:textId="2BC3A187" w:rsidR="00C511D4" w:rsidRPr="00D75FAA" w:rsidRDefault="00C511D4" w:rsidP="00EB60D6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Izvješće o provedenom postupku i rang listu kandidata, Povjerenstvo dostavlja čelniku koji vrši izbor kandidata.</w:t>
      </w:r>
    </w:p>
    <w:p w14:paraId="65F2B6E0" w14:textId="77777777" w:rsidR="005E64FB" w:rsidRDefault="005E64FB" w:rsidP="00C511D4">
      <w:pPr>
        <w:jc w:val="both"/>
      </w:pPr>
    </w:p>
    <w:sectPr w:rsidR="005E64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811"/>
    <w:multiLevelType w:val="hybridMultilevel"/>
    <w:tmpl w:val="AFDAF13C"/>
    <w:lvl w:ilvl="0" w:tplc="EC1EF6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0022BB"/>
    <w:multiLevelType w:val="hybridMultilevel"/>
    <w:tmpl w:val="C5FE43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DA4C3C"/>
    <w:multiLevelType w:val="hybridMultilevel"/>
    <w:tmpl w:val="C95EB57E"/>
    <w:lvl w:ilvl="0" w:tplc="C0589A08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4FB"/>
    <w:rsid w:val="001127AF"/>
    <w:rsid w:val="002F24B5"/>
    <w:rsid w:val="00304EB9"/>
    <w:rsid w:val="00366E3A"/>
    <w:rsid w:val="00535EC1"/>
    <w:rsid w:val="00564AEB"/>
    <w:rsid w:val="005D2FF4"/>
    <w:rsid w:val="005E2906"/>
    <w:rsid w:val="005E64FB"/>
    <w:rsid w:val="006E6D06"/>
    <w:rsid w:val="00714CD5"/>
    <w:rsid w:val="007E348D"/>
    <w:rsid w:val="009955BD"/>
    <w:rsid w:val="00C511D4"/>
    <w:rsid w:val="00C7765D"/>
    <w:rsid w:val="00C9592A"/>
    <w:rsid w:val="00CF1381"/>
    <w:rsid w:val="00D75FAA"/>
    <w:rsid w:val="00E47883"/>
    <w:rsid w:val="00EB60D6"/>
    <w:rsid w:val="00F33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78F19"/>
  <w15:chartTrackingRefBased/>
  <w15:docId w15:val="{91C1B5C8-B1BF-4288-AE46-3C81AB6B2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883"/>
    <w:pPr>
      <w:spacing w:after="0" w:line="240" w:lineRule="auto"/>
    </w:pPr>
    <w:rPr>
      <w:rFonts w:ascii="Calibri" w:hAnsi="Calibri" w:cs="Calibri"/>
    </w:rPr>
  </w:style>
  <w:style w:type="paragraph" w:styleId="Naslov1">
    <w:name w:val="heading 1"/>
    <w:basedOn w:val="Normal"/>
    <w:link w:val="Naslov1Char"/>
    <w:uiPriority w:val="9"/>
    <w:qFormat/>
    <w:rsid w:val="00E47883"/>
    <w:pPr>
      <w:keepNext/>
      <w:outlineLvl w:val="0"/>
    </w:pPr>
    <w:rPr>
      <w:rFonts w:ascii="Times New Roman" w:hAnsi="Times New Roman" w:cs="Times New Roman"/>
      <w:b/>
      <w:bCs/>
      <w:kern w:val="36"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511D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47883"/>
    <w:rPr>
      <w:rFonts w:ascii="Times New Roman" w:hAnsi="Times New Roman" w:cs="Times New Roman"/>
      <w:b/>
      <w:bCs/>
      <w:kern w:val="36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47883"/>
    <w:rPr>
      <w:color w:val="0563C1"/>
      <w:u w:val="single"/>
    </w:rPr>
  </w:style>
  <w:style w:type="paragraph" w:styleId="Odlomakpopisa">
    <w:name w:val="List Paragraph"/>
    <w:basedOn w:val="Normal"/>
    <w:uiPriority w:val="34"/>
    <w:qFormat/>
    <w:rsid w:val="00E47883"/>
    <w:pPr>
      <w:ind w:left="720"/>
    </w:pPr>
  </w:style>
  <w:style w:type="character" w:styleId="Nerijeenospominjanje">
    <w:name w:val="Unresolved Mention"/>
    <w:basedOn w:val="Zadanifontodlomka"/>
    <w:uiPriority w:val="99"/>
    <w:semiHidden/>
    <w:unhideWhenUsed/>
    <w:rsid w:val="00D75FAA"/>
    <w:rPr>
      <w:color w:val="605E5C"/>
      <w:shd w:val="clear" w:color="auto" w:fill="E1DFDD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511D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zgso.hr/statut" TargetMode="External"/><Relationship Id="rId5" Type="http://schemas.openxmlformats.org/officeDocument/2006/relationships/hyperlink" Target="https://narodne-novine.nn.hr/clanci/sluzbeni/1993_08_76_1548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</dc:creator>
  <cp:keywords/>
  <dc:description/>
  <cp:lastModifiedBy>UZGSO Slavonski Brod</cp:lastModifiedBy>
  <cp:revision>20</cp:revision>
  <cp:lastPrinted>2022-10-21T12:58:00Z</cp:lastPrinted>
  <dcterms:created xsi:type="dcterms:W3CDTF">2022-01-21T08:39:00Z</dcterms:created>
  <dcterms:modified xsi:type="dcterms:W3CDTF">2022-10-21T13:03:00Z</dcterms:modified>
</cp:coreProperties>
</file>